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09E8" w14:textId="77777777" w:rsidR="003D15D4" w:rsidRPr="003D15D4" w:rsidRDefault="003D15D4" w:rsidP="003D15D4">
      <w:p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Le programme de la classe de terminale sera désormais constitué de 9 questionnements, tous évaluables lors de l’épreuve terminale :</w:t>
      </w:r>
    </w:p>
    <w:p w14:paraId="5977D568" w14:textId="77777777" w:rsidR="003D15D4" w:rsidRPr="003D15D4" w:rsidRDefault="003D15D4" w:rsidP="003D1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b/>
          <w:bCs/>
          <w:sz w:val="24"/>
          <w:szCs w:val="24"/>
          <w:lang w:eastAsia="fr-FR"/>
        </w:rPr>
        <w:t>En science économique</w:t>
      </w:r>
      <w:r w:rsidRPr="003D15D4">
        <w:rPr>
          <w:rFonts w:ascii="Times New Roman" w:eastAsia="Times New Roman" w:hAnsi="Times New Roman" w:cs="Times New Roman"/>
          <w:sz w:val="24"/>
          <w:szCs w:val="24"/>
          <w:lang w:eastAsia="fr-FR"/>
        </w:rPr>
        <w:t xml:space="preserve"> :</w:t>
      </w:r>
    </w:p>
    <w:p w14:paraId="6542E599"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Quels sont les sources et les défis de la croissance économique ?</w:t>
      </w:r>
    </w:p>
    <w:p w14:paraId="526F1139"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Quels sont les fondements du commerce international et de l’internationalisation de la production ?</w:t>
      </w:r>
    </w:p>
    <w:p w14:paraId="09F48E1A"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Quelles politiques économiques dans le cadre européen ?</w:t>
      </w:r>
    </w:p>
    <w:p w14:paraId="05FC3F7C"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Comment lutter contre le chômage ?</w:t>
      </w:r>
    </w:p>
    <w:p w14:paraId="391C28D3" w14:textId="77777777" w:rsidR="003D15D4" w:rsidRPr="003D15D4" w:rsidRDefault="003D15D4" w:rsidP="003D1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b/>
          <w:bCs/>
          <w:sz w:val="24"/>
          <w:szCs w:val="24"/>
          <w:lang w:eastAsia="fr-FR"/>
        </w:rPr>
        <w:t>En sociologie</w:t>
      </w:r>
      <w:r w:rsidRPr="003D15D4">
        <w:rPr>
          <w:rFonts w:ascii="Times New Roman" w:eastAsia="Times New Roman" w:hAnsi="Times New Roman" w:cs="Times New Roman"/>
          <w:sz w:val="24"/>
          <w:szCs w:val="24"/>
          <w:lang w:eastAsia="fr-FR"/>
        </w:rPr>
        <w:t xml:space="preserve"> :</w:t>
      </w:r>
    </w:p>
    <w:p w14:paraId="08570A03"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Comment est structurée la société française actuelle ?</w:t>
      </w:r>
    </w:p>
    <w:p w14:paraId="0E27C306"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Quelles sont les caractéristiques contemporaines et les facteurs de la mobilité sociale ?</w:t>
      </w:r>
    </w:p>
    <w:p w14:paraId="26717DEB"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Quelles mutations du travail et de l’emploi ?</w:t>
      </w:r>
    </w:p>
    <w:p w14:paraId="6AF877CF" w14:textId="77777777" w:rsidR="003D15D4" w:rsidRPr="003D15D4" w:rsidRDefault="003D15D4" w:rsidP="003D1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b/>
          <w:bCs/>
          <w:sz w:val="24"/>
          <w:szCs w:val="24"/>
          <w:lang w:eastAsia="fr-FR"/>
        </w:rPr>
        <w:t>En science politique</w:t>
      </w:r>
      <w:r w:rsidRPr="003D15D4">
        <w:rPr>
          <w:rFonts w:ascii="Times New Roman" w:eastAsia="Times New Roman" w:hAnsi="Times New Roman" w:cs="Times New Roman"/>
          <w:sz w:val="24"/>
          <w:szCs w:val="24"/>
          <w:lang w:eastAsia="fr-FR"/>
        </w:rPr>
        <w:t xml:space="preserve"> :</w:t>
      </w:r>
    </w:p>
    <w:p w14:paraId="59193F6D"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Comment expliquer l’engagement politique dans les sociétés démocratiques ?</w:t>
      </w:r>
    </w:p>
    <w:p w14:paraId="38A322EC" w14:textId="77777777" w:rsidR="003D15D4" w:rsidRPr="003D15D4" w:rsidRDefault="003D15D4" w:rsidP="003D15D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b/>
          <w:bCs/>
          <w:sz w:val="24"/>
          <w:szCs w:val="24"/>
          <w:lang w:eastAsia="fr-FR"/>
        </w:rPr>
        <w:t>En regard croisé</w:t>
      </w:r>
      <w:r w:rsidRPr="003D15D4">
        <w:rPr>
          <w:rFonts w:ascii="Times New Roman" w:eastAsia="Times New Roman" w:hAnsi="Times New Roman" w:cs="Times New Roman"/>
          <w:sz w:val="24"/>
          <w:szCs w:val="24"/>
          <w:lang w:eastAsia="fr-FR"/>
        </w:rPr>
        <w:t xml:space="preserve"> :</w:t>
      </w:r>
    </w:p>
    <w:p w14:paraId="657F87E8" w14:textId="77777777" w:rsidR="003D15D4" w:rsidRPr="003D15D4" w:rsidRDefault="003D15D4" w:rsidP="003D15D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D15D4">
        <w:rPr>
          <w:rFonts w:ascii="Times New Roman" w:eastAsia="Times New Roman" w:hAnsi="Times New Roman" w:cs="Times New Roman"/>
          <w:sz w:val="24"/>
          <w:szCs w:val="24"/>
          <w:lang w:eastAsia="fr-FR"/>
        </w:rPr>
        <w:t>Quelle action publique pour l’environnement ?</w:t>
      </w:r>
    </w:p>
    <w:p w14:paraId="688DB6C1" w14:textId="77777777" w:rsidR="006E69B1" w:rsidRPr="006E69B1" w:rsidRDefault="005D3CD2" w:rsidP="006E69B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Remarque :</w:t>
      </w:r>
      <w:r w:rsidR="003D15D4" w:rsidRPr="003D15D4">
        <w:rPr>
          <w:rFonts w:ascii="Times New Roman" w:eastAsia="Times New Roman" w:hAnsi="Times New Roman" w:cs="Times New Roman"/>
          <w:sz w:val="24"/>
          <w:szCs w:val="24"/>
          <w:lang w:eastAsia="fr-FR"/>
        </w:rPr>
        <w:t xml:space="preserve"> le programme de terminale reste structuré en trois blocs : science économique ; sociologie et science politique ; regard croisé.</w:t>
      </w:r>
      <w:r w:rsidR="006E69B1" w:rsidRPr="006E69B1">
        <w:rPr>
          <w:rFonts w:ascii="Arial" w:eastAsia="Times New Roman" w:hAnsi="Arial" w:cs="Arial"/>
          <w:sz w:val="24"/>
          <w:szCs w:val="24"/>
          <w:lang w:eastAsia="fr-FR"/>
        </w:rPr>
        <w:t> </w:t>
      </w:r>
    </w:p>
    <w:tbl>
      <w:tblPr>
        <w:tblW w:w="9639" w:type="dxa"/>
        <w:tblInd w:w="-5" w:type="dxa"/>
        <w:tblCellMar>
          <w:left w:w="0" w:type="dxa"/>
          <w:right w:w="0" w:type="dxa"/>
        </w:tblCellMar>
        <w:tblLook w:val="04A0" w:firstRow="1" w:lastRow="0" w:firstColumn="1" w:lastColumn="0" w:noHBand="0" w:noVBand="1"/>
      </w:tblPr>
      <w:tblGrid>
        <w:gridCol w:w="2552"/>
        <w:gridCol w:w="7087"/>
      </w:tblGrid>
      <w:tr w:rsidR="006E69B1" w:rsidRPr="006E69B1" w14:paraId="3DDFC61C" w14:textId="77777777" w:rsidTr="006E69B1">
        <w:trPr>
          <w:trHeight w:val="103"/>
        </w:trPr>
        <w:tc>
          <w:tcPr>
            <w:tcW w:w="2552" w:type="dxa"/>
            <w:tcBorders>
              <w:top w:val="single" w:sz="8" w:space="0" w:color="000000"/>
              <w:left w:val="single" w:sz="8" w:space="0" w:color="000000"/>
              <w:bottom w:val="single" w:sz="8" w:space="0" w:color="000000"/>
              <w:right w:val="single" w:sz="8" w:space="0" w:color="000000"/>
            </w:tcBorders>
            <w:tcMar>
              <w:top w:w="0" w:type="dxa"/>
              <w:left w:w="103" w:type="dxa"/>
              <w:bottom w:w="0" w:type="dxa"/>
              <w:right w:w="108" w:type="dxa"/>
            </w:tcMar>
            <w:hideMark/>
          </w:tcPr>
          <w:p w14:paraId="1FA90466"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Questionnements </w:t>
            </w:r>
          </w:p>
        </w:tc>
        <w:tc>
          <w:tcPr>
            <w:tcW w:w="7087" w:type="dxa"/>
            <w:tcBorders>
              <w:top w:val="single" w:sz="8" w:space="0" w:color="000000"/>
              <w:left w:val="nil"/>
              <w:bottom w:val="single" w:sz="8" w:space="0" w:color="000000"/>
              <w:right w:val="single" w:sz="8" w:space="0" w:color="000000"/>
            </w:tcBorders>
            <w:tcMar>
              <w:top w:w="0" w:type="dxa"/>
              <w:left w:w="103" w:type="dxa"/>
              <w:bottom w:w="0" w:type="dxa"/>
              <w:right w:w="108" w:type="dxa"/>
            </w:tcMar>
            <w:hideMark/>
          </w:tcPr>
          <w:p w14:paraId="321A8151"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Objectifs d’apprentissage </w:t>
            </w:r>
          </w:p>
        </w:tc>
      </w:tr>
      <w:tr w:rsidR="006E69B1" w:rsidRPr="006E69B1" w14:paraId="7B79DBAC" w14:textId="77777777" w:rsidTr="006E69B1">
        <w:trPr>
          <w:trHeight w:val="103"/>
        </w:trPr>
        <w:tc>
          <w:tcPr>
            <w:tcW w:w="9639" w:type="dxa"/>
            <w:gridSpan w:val="2"/>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4CBFF72A"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Science économique </w:t>
            </w:r>
          </w:p>
        </w:tc>
      </w:tr>
      <w:tr w:rsidR="006E69B1" w:rsidRPr="006E69B1" w14:paraId="2060AEE7" w14:textId="77777777" w:rsidTr="006E69B1">
        <w:trPr>
          <w:trHeight w:val="2203"/>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0CED5863"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Quels sont les sources et les défis de la croissance économique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08648E0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 processus de croissance économique et les sources de la croissance : accumulation des facteurs et accroissement de la productivité globale des facteurs ; comprendre le lien entre le progrès technique et l’accroissement de la productivité globale des facteurs. </w:t>
            </w:r>
          </w:p>
          <w:p w14:paraId="14A9880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le progrès technique est endogène et qu’il résulte en particulier de l’innovation. </w:t>
            </w:r>
          </w:p>
          <w:p w14:paraId="46D3193A"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comment les institutions (notamment les droits de propriété) influent sur la croissance en affectant l’incitation à investir et innover ; savoir que l’innovation s’accompagne d'un processus de destruction créatrice. </w:t>
            </w:r>
          </w:p>
          <w:p w14:paraId="2B7BACE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comment le progrès technique peut engendrer des inégalités de revenus. </w:t>
            </w:r>
          </w:p>
          <w:p w14:paraId="42A3C8F1"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qu’une croissance économique soutenable se heurte à des limites écologiques (notamment l’épuisement des ressources, la pollution et le réchauffement climatique) et que l’innovation peut aider à reculer ces limites. </w:t>
            </w:r>
          </w:p>
        </w:tc>
      </w:tr>
      <w:tr w:rsidR="006E69B1" w:rsidRPr="006E69B1" w14:paraId="3AB9EFB1" w14:textId="77777777" w:rsidTr="006E69B1">
        <w:trPr>
          <w:trHeight w:val="557"/>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3822963B"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Quels sont les fondements du commerce international et de l’internationalisation de la production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21EA25C2"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 rôle des dotations factorielles et technologiques (avantages comparatifs) dans les échanges commerciaux et la spécialisation internationale. </w:t>
            </w:r>
          </w:p>
          <w:p w14:paraId="2EB75287"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lastRenderedPageBreak/>
              <w:t xml:space="preserve">- </w:t>
            </w:r>
            <w:r w:rsidRPr="006E69B1">
              <w:rPr>
                <w:rFonts w:ascii="Times New Roman" w:eastAsia="Times New Roman" w:hAnsi="Times New Roman" w:cs="Times New Roman"/>
                <w:sz w:val="24"/>
                <w:szCs w:val="24"/>
                <w:lang w:eastAsia="fr-FR"/>
              </w:rPr>
              <w:t xml:space="preserve">Comprendre le commerce entre pays comparables (différenciation des produits, qualité des produits, et fragmentation de la chaîne de valeur). </w:t>
            </w:r>
          </w:p>
          <w:p w14:paraId="49E5D0B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la productivité des firmes sous-tend la compétitivité d’un pays, c’est-à-dire son aptitude à exporter. </w:t>
            </w:r>
          </w:p>
          <w:p w14:paraId="10850E3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l’internationalisation de la chaîne de valeur et savoir l’illustrer. </w:t>
            </w:r>
          </w:p>
          <w:p w14:paraId="5B7F38FC"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Comprendre les effets induits par le commerce international : gains moyens en termes de baisse de prix, réduction des inégalités entre pays, accroissement des inégalités de revenus au sein de chaque pays ; comprendre les termes du débat entre libre-échange et protectionnisme.</w:t>
            </w:r>
          </w:p>
        </w:tc>
      </w:tr>
      <w:tr w:rsidR="006E69B1" w:rsidRPr="006E69B1" w14:paraId="103481CF" w14:textId="77777777" w:rsidTr="006E69B1">
        <w:trPr>
          <w:trHeight w:val="983"/>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0A2D327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lastRenderedPageBreak/>
              <w:t xml:space="preserve">Comment lutter contre le chômage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02F5DEEB"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Savoir définir le chômage et le sous-emploi et connaître les indicateurs de taux de chômage et de taux d’emploi. </w:t>
            </w:r>
          </w:p>
          <w:p w14:paraId="2D758F2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les problèmes d’appariements (frictions, inadéquations spatiales et de qualifications) et les asymétries d’information (salaire d’efficience) sont des sources de chômage structurel. </w:t>
            </w:r>
          </w:p>
          <w:p w14:paraId="1200897C"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effets (positifs ou négatifs) des institutions sur le chômage structurel (notamment salaire minimum et règles de protection de l'emploi). </w:t>
            </w:r>
          </w:p>
          <w:p w14:paraId="39A70FC5"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effets des fluctuations de l’activité économique sur le chômage conjoncturel. </w:t>
            </w:r>
          </w:p>
          <w:p w14:paraId="5914DB7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Connaître les principales politiques mises en œuvre pour lutter contre le chômage : politiques macroéconomiques de soutien de la demande globale, politiques d’allégement du coût du travail, politiques de formation et politiques de flexibilisation pour lutter contre les rigidités du marché du travail.</w:t>
            </w:r>
          </w:p>
        </w:tc>
      </w:tr>
      <w:tr w:rsidR="006E69B1" w:rsidRPr="006E69B1" w14:paraId="6BFC43A1" w14:textId="77777777" w:rsidTr="006E69B1">
        <w:trPr>
          <w:trHeight w:val="1679"/>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4964954D"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Quelles politiques économiques dans le cadre européen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32C0802B"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Connaître les grandes caractéristiques de l’intégration européenne (marché unique et zone euro) ; comprendre les effets du marché unique sur la croissance. </w:t>
            </w:r>
          </w:p>
          <w:p w14:paraId="1E01B941"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objectifs, les modalités et les limites de la politique européenne de la concurrence. </w:t>
            </w:r>
          </w:p>
          <w:p w14:paraId="432CBEF7"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comment la politique monétaire et la politique budgétaire agissent sur la conjoncture. </w:t>
            </w:r>
          </w:p>
          <w:p w14:paraId="26A6E71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Savoir que la politique monétaire dans la zone euro, conduite de façon indépendante par la Banque centrale européenne, est unique alors que la politique budgétaire est du ressort de chaque pays membre mais contrainte par les traités européens ; comprendre les difficultés soulevées par cette situation (défaut de coordination, chocs asymétriques).</w:t>
            </w:r>
          </w:p>
        </w:tc>
      </w:tr>
      <w:tr w:rsidR="006E69B1" w:rsidRPr="006E69B1" w14:paraId="76EB613C" w14:textId="77777777" w:rsidTr="006E69B1">
        <w:trPr>
          <w:trHeight w:val="103"/>
        </w:trPr>
        <w:tc>
          <w:tcPr>
            <w:tcW w:w="9639" w:type="dxa"/>
            <w:gridSpan w:val="2"/>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47BB755E"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lastRenderedPageBreak/>
              <w:t xml:space="preserve">Sociologie et science politique </w:t>
            </w:r>
          </w:p>
          <w:p w14:paraId="7D9276FA"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w:t>
            </w:r>
          </w:p>
        </w:tc>
      </w:tr>
      <w:tr w:rsidR="006E69B1" w:rsidRPr="006E69B1" w14:paraId="4168AC40" w14:textId="77777777" w:rsidTr="006E69B1">
        <w:trPr>
          <w:trHeight w:val="2166"/>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3EFE23EC"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Comment est structurée la société française actuelle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36B4E894"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Savoir identifier les multiples facteurs de structuration et de hiérarchisation de l’espace social (catégorie socioprofessionnelle, revenu, diplôme, composition du ménage, position dans le cycle de vie, sexe, lieu de résidence). </w:t>
            </w:r>
          </w:p>
          <w:p w14:paraId="554B596B"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principales évolutions de la structure socioprofessionnelle en France depuis la seconde moitié du XXe siècle (salarisation, tertiarisation, élévation du niveau de qualification, féminisation des emplois). </w:t>
            </w:r>
          </w:p>
          <w:p w14:paraId="46B24E0A"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Connaître les théories des classes et de la stratification sociale dans la tradition sociologique (Marx, Weber) ; comprendre que la pertinence d’une approche en termes de classes sociales pour rendre compte de la société française fait l’objet de débats théoriques et statistiques : évolution des distances inter- et intra-classes, articulation avec les rapports sociaux de genre, identifications subjectives à un groupe social, multiplication des facteurs d’individualisation. </w:t>
            </w:r>
          </w:p>
        </w:tc>
      </w:tr>
      <w:tr w:rsidR="006E69B1" w:rsidRPr="006E69B1" w14:paraId="078ADDA4" w14:textId="77777777" w:rsidTr="006E69B1">
        <w:trPr>
          <w:trHeight w:val="1408"/>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67A4EC3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Quels sont les caractéristiques contemporaines et les facteurs de la mobilité sociale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3D05DE94"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Savoir distinguer la mobilité sociale intergénérationnelle des autres formes de mobilité (géographique, professionnelle). </w:t>
            </w:r>
          </w:p>
          <w:p w14:paraId="2538B83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principes de construction, les intérêts et les limites des tables de mobilité comme instrument de mesure de la mobilité sociale. </w:t>
            </w:r>
          </w:p>
          <w:p w14:paraId="0C01129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Comprendre que la mobilité observée comporte une composante structurelle (mobilité structurelle) ; comprendre que la mobilité peut aussi se mesurer de manière relative indépendamment des différences de structure entre origine et position sociales (fluidité sociale) et qu’une société plus mobile n’est pas nécessairement une société plus fluide.</w:t>
            </w:r>
          </w:p>
          <w:p w14:paraId="2034070D"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À partir de la lecture des tables de mobilité, être capable de mettre en évidence des situations de mobilité ascendante, de reproduction sociale et de déclassement, et de retrouver les spécificités de la mobilité sociale des hommes et de celles des femmes. </w:t>
            </w:r>
          </w:p>
          <w:p w14:paraId="06FF346D"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Comprendre comment l’évolution de la structure socioprofessionnelle, les niveaux de formation et les ressources et configurations familiales contribuent à expliquer la mobilité sociale.</w:t>
            </w:r>
          </w:p>
        </w:tc>
      </w:tr>
      <w:tr w:rsidR="006E69B1" w:rsidRPr="006E69B1" w14:paraId="0C022E2E" w14:textId="77777777" w:rsidTr="006E69B1">
        <w:trPr>
          <w:trHeight w:val="2961"/>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75659E36"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lastRenderedPageBreak/>
              <w:t xml:space="preserve">Quelles mutations du travail et de l’emploi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5673825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Savoir distinguer les notions de travail, activité, statut d’emploi (salarié, non-salarié), chômage ; comprendre que les évolutions des formes d’emploi rendent plus incertaines les frontières entre emploi, chômage et inactivité. </w:t>
            </w:r>
          </w:p>
          <w:p w14:paraId="285B2B47"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Connaître les principaux descripteurs de la qualité des emplois (conditions de travail, niveau de salaire, sécurité économique, horizon de carrière, potentiel de formation, variété des tâches). </w:t>
            </w:r>
          </w:p>
          <w:p w14:paraId="4C981211"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les principales caractéristiques des modèles d’organisation taylorien (division du travail horizontale et verticale, relation hiérarchique stricte) et post-taylorien (flexibilité, recomposition des tâches, management participatif) ; comprendre les effets positifs et négatifs de l’évolution des formes de l’organisation du travail sur les conditions de travail. </w:t>
            </w:r>
          </w:p>
          <w:p w14:paraId="00F9F6C3"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comment le numérique brouille les frontières du travail (télétravail, travail / hors travail), transforme les relations d’emploi et accroît les risques de polarisation des emplois. </w:t>
            </w:r>
          </w:p>
          <w:p w14:paraId="107C4F7D"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Comprendre que le travail est source d’intégration sociale et que certaines évolutions de l’emploi (précarisation, taux persistant de chômage élevé, polarisation de la qualité des emplois) peuvent affaiblir ce pouvoir intégrateur.</w:t>
            </w:r>
          </w:p>
        </w:tc>
      </w:tr>
      <w:tr w:rsidR="006E69B1" w:rsidRPr="006E69B1" w14:paraId="16C226FD" w14:textId="77777777" w:rsidTr="006E69B1">
        <w:trPr>
          <w:trHeight w:val="1931"/>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4AB2496E"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Comment expliquer l’engagement politique dans les sociétés démocratiques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34B7D153"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l’engagement politique prend des formes variées (vote, militantisme, engagement associatif, consommation engagée). </w:t>
            </w:r>
          </w:p>
          <w:p w14:paraId="0AE61C8C"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pourquoi, malgré le paradoxe de l’action collective, les individus s’engagent (incitations sélectives, rétributions symboliques, structure des opportunités politiques). </w:t>
            </w:r>
          </w:p>
          <w:p w14:paraId="38E1CD99"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l’engagement politique dépend notamment de variables sociodémographiques (catégorie socioprofessionnelle, diplôme, âge et génération, sexe). </w:t>
            </w:r>
          </w:p>
          <w:p w14:paraId="49993CE6"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la diversité et les transformations des objets de l’action collective (conflits du travail, nouveaux enjeux de mobilisation, luttes minoritaires), des acteurs (partis politiques, syndicats, associations, groupements) et de leurs répertoires. </w:t>
            </w:r>
          </w:p>
        </w:tc>
      </w:tr>
      <w:tr w:rsidR="006E69B1" w:rsidRPr="006E69B1" w14:paraId="0B55D088" w14:textId="77777777" w:rsidTr="006E69B1">
        <w:trPr>
          <w:trHeight w:val="103"/>
        </w:trPr>
        <w:tc>
          <w:tcPr>
            <w:tcW w:w="9639" w:type="dxa"/>
            <w:gridSpan w:val="2"/>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315E6CD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Regard croisé</w:t>
            </w:r>
          </w:p>
          <w:p w14:paraId="0E81242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w:t>
            </w:r>
          </w:p>
        </w:tc>
      </w:tr>
      <w:tr w:rsidR="006E69B1" w:rsidRPr="006E69B1" w14:paraId="420E67C9" w14:textId="77777777" w:rsidTr="006E69B1">
        <w:trPr>
          <w:trHeight w:val="2835"/>
        </w:trPr>
        <w:tc>
          <w:tcPr>
            <w:tcW w:w="2552"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14:paraId="762DA062"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lastRenderedPageBreak/>
              <w:t xml:space="preserve">Quelle action publique pour l’environnement ? </w:t>
            </w:r>
          </w:p>
        </w:tc>
        <w:tc>
          <w:tcPr>
            <w:tcW w:w="7087" w:type="dxa"/>
            <w:tcBorders>
              <w:top w:val="nil"/>
              <w:left w:val="nil"/>
              <w:bottom w:val="single" w:sz="8" w:space="0" w:color="000000"/>
              <w:right w:val="single" w:sz="8" w:space="0" w:color="000000"/>
            </w:tcBorders>
            <w:tcMar>
              <w:top w:w="0" w:type="dxa"/>
              <w:left w:w="103" w:type="dxa"/>
              <w:bottom w:w="0" w:type="dxa"/>
              <w:right w:w="108" w:type="dxa"/>
            </w:tcMar>
            <w:hideMark/>
          </w:tcPr>
          <w:p w14:paraId="4F6ECB8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Savoir identifier les différents acteurs (pouvoirs publics, ONG, entreprises, experts, partis, mouvements citoyens) qui participent à la construction des questions environnementales comme problème public et à leur mise à l’agenda politique ; comprendre que ces acteurs entretiennent des relations de coopération et de conflit. </w:t>
            </w:r>
          </w:p>
          <w:p w14:paraId="68830B07"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 l’action publique pour l’environnement articule différentes échelles (locale, nationale, européenne, mondiale). </w:t>
            </w:r>
          </w:p>
          <w:p w14:paraId="064AF798"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En prenant l’exemple du changement climatique : </w:t>
            </w:r>
          </w:p>
          <w:p w14:paraId="050932DA"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connaître les principaux instruments dont disposent les pouvoirs publics pour faire face aux externalités négatives sur l’environnement : réglementation, marchés de quotas d'émission, taxation, subvention à l’innovation verte ; comprendre que ces différents instruments présentent des avantages et des limites, et que leur mise en œuvre peut se heurter à des dysfonctionnements de l’action publique ; </w:t>
            </w:r>
          </w:p>
          <w:p w14:paraId="4CF08440"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 </w:t>
            </w:r>
            <w:r w:rsidRPr="006E69B1">
              <w:rPr>
                <w:rFonts w:ascii="Times New Roman" w:eastAsia="Times New Roman" w:hAnsi="Times New Roman" w:cs="Times New Roman"/>
                <w:sz w:val="24"/>
                <w:szCs w:val="24"/>
                <w:lang w:eastAsia="fr-FR"/>
              </w:rPr>
              <w:t xml:space="preserve">comprendre qu’en présence de bien commun les négociations et accords internationaux liés à la préservation de l’environnement sont contraints par des stratégies de passager clandestin et les inégalités de développement entre pays. </w:t>
            </w:r>
          </w:p>
        </w:tc>
      </w:tr>
    </w:tbl>
    <w:p w14:paraId="3DB0705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Arial" w:eastAsia="Times New Roman" w:hAnsi="Arial" w:cs="Arial"/>
          <w:b/>
          <w:bCs/>
          <w:sz w:val="24"/>
          <w:szCs w:val="24"/>
          <w:lang w:eastAsia="fr-FR"/>
        </w:rPr>
        <w:t> </w:t>
      </w:r>
    </w:p>
    <w:p w14:paraId="34D3CAF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Objectifs d’apprentissage concernant l’utilisation des données quantitatives et des représentations graphiques </w:t>
      </w:r>
    </w:p>
    <w:p w14:paraId="3C1F7459"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Calcul, lecture, interprétation </w:t>
      </w:r>
    </w:p>
    <w:p w14:paraId="1DBF60C3" w14:textId="77777777" w:rsidR="006E69B1" w:rsidRPr="006E69B1" w:rsidRDefault="006E69B1" w:rsidP="006E6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Proportion, pourcentage de répartition (y compris leur utilisation pour transformer une table de mobilité en tables de destinée et de recrutement). </w:t>
      </w:r>
    </w:p>
    <w:p w14:paraId="51EFD7EE" w14:textId="77777777" w:rsidR="006E69B1" w:rsidRPr="006E69B1" w:rsidRDefault="006E69B1" w:rsidP="006E6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Taux de variation, taux de variation cumulé, coefficient multiplicateur, indice simple. </w:t>
      </w:r>
    </w:p>
    <w:p w14:paraId="793B9D0D" w14:textId="77777777" w:rsidR="006E69B1" w:rsidRPr="006E69B1" w:rsidRDefault="006E69B1" w:rsidP="006E6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Moyenne arithmétique simple et pondérée. </w:t>
      </w:r>
    </w:p>
    <w:p w14:paraId="7F04E285"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w:t>
      </w:r>
    </w:p>
    <w:p w14:paraId="7973109C"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b/>
          <w:bCs/>
          <w:sz w:val="24"/>
          <w:szCs w:val="24"/>
          <w:lang w:eastAsia="fr-FR"/>
        </w:rPr>
        <w:t xml:space="preserve">Lecture et interprétation </w:t>
      </w:r>
    </w:p>
    <w:p w14:paraId="4E511A18"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Indice synthétique. </w:t>
      </w:r>
    </w:p>
    <w:p w14:paraId="1862FA71"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Médiane. </w:t>
      </w:r>
    </w:p>
    <w:p w14:paraId="282E6DDC"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Écart et rapport inter-quantile. </w:t>
      </w:r>
    </w:p>
    <w:p w14:paraId="18395C3A"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Coefficient de Gini. </w:t>
      </w:r>
    </w:p>
    <w:p w14:paraId="6B93E599"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Corrélation et causalité. </w:t>
      </w:r>
    </w:p>
    <w:p w14:paraId="23DC1831"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Taux de variation moyen. </w:t>
      </w:r>
    </w:p>
    <w:p w14:paraId="4D98E225"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Valeur nominale, valeur réelle (notamment, taux d'intérêt nominal et taux d'intérêt réel). </w:t>
      </w:r>
    </w:p>
    <w:p w14:paraId="7D28972E"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Tableau à double-entrée. </w:t>
      </w:r>
    </w:p>
    <w:p w14:paraId="193CB593"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t xml:space="preserve">Représentations graphiques : diagrammes de répartition, représentation de séries chronologiques, courbe de Lorenz. </w:t>
      </w:r>
    </w:p>
    <w:p w14:paraId="490E979A" w14:textId="77777777" w:rsidR="006E69B1" w:rsidRPr="006E69B1" w:rsidRDefault="006E69B1" w:rsidP="006E6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Times New Roman" w:eastAsia="Times New Roman" w:hAnsi="Times New Roman" w:cs="Times New Roman"/>
          <w:sz w:val="24"/>
          <w:szCs w:val="24"/>
          <w:lang w:eastAsia="fr-FR"/>
        </w:rPr>
        <w:lastRenderedPageBreak/>
        <w:t xml:space="preserve">Représentation graphique de fonctions simples (offre, demande, coût) et interprétation de leurs pentes et de leurs déplacements. </w:t>
      </w:r>
    </w:p>
    <w:p w14:paraId="4FDAC88F"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p>
    <w:p w14:paraId="174CF915" w14:textId="77777777" w:rsidR="006E69B1" w:rsidRPr="006E69B1" w:rsidRDefault="006E69B1" w:rsidP="006E69B1">
      <w:pPr>
        <w:spacing w:before="100" w:beforeAutospacing="1" w:after="100" w:afterAutospacing="1" w:line="240" w:lineRule="auto"/>
        <w:rPr>
          <w:rFonts w:ascii="Times New Roman" w:eastAsia="Times New Roman" w:hAnsi="Times New Roman" w:cs="Times New Roman"/>
          <w:sz w:val="24"/>
          <w:szCs w:val="24"/>
          <w:lang w:eastAsia="fr-FR"/>
        </w:rPr>
      </w:pPr>
      <w:r w:rsidRPr="006E69B1">
        <w:rPr>
          <w:rFonts w:ascii="Marianne" w:eastAsia="Times New Roman" w:hAnsi="Marianne" w:cs="Times New Roman"/>
          <w:sz w:val="24"/>
          <w:szCs w:val="24"/>
          <w:lang w:eastAsia="fr-FR"/>
        </w:rPr>
        <w:t> </w:t>
      </w:r>
    </w:p>
    <w:p w14:paraId="7EFC5A04" w14:textId="77777777" w:rsidR="00516FC3" w:rsidRPr="006E69B1" w:rsidRDefault="00516FC3" w:rsidP="006E69B1"/>
    <w:sectPr w:rsidR="00516FC3" w:rsidRPr="006E6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79B1"/>
    <w:multiLevelType w:val="multilevel"/>
    <w:tmpl w:val="82185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7B21"/>
    <w:multiLevelType w:val="multilevel"/>
    <w:tmpl w:val="E956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4A4C12"/>
    <w:multiLevelType w:val="multilevel"/>
    <w:tmpl w:val="2F4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512520">
    <w:abstractNumId w:val="1"/>
  </w:num>
  <w:num w:numId="2" w16cid:durableId="119762952">
    <w:abstractNumId w:val="2"/>
  </w:num>
  <w:num w:numId="3" w16cid:durableId="17762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C3"/>
    <w:rsid w:val="003D15D4"/>
    <w:rsid w:val="00407EBC"/>
    <w:rsid w:val="00421644"/>
    <w:rsid w:val="00516FC3"/>
    <w:rsid w:val="005D3CD2"/>
    <w:rsid w:val="006E69B1"/>
    <w:rsid w:val="00821F13"/>
    <w:rsid w:val="00E04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8A3E"/>
  <w15:chartTrackingRefBased/>
  <w15:docId w15:val="{27B720F6-8477-4C15-96B0-C256492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15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1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79192">
      <w:bodyDiv w:val="1"/>
      <w:marLeft w:val="0"/>
      <w:marRight w:val="0"/>
      <w:marTop w:val="0"/>
      <w:marBottom w:val="0"/>
      <w:divBdr>
        <w:top w:val="none" w:sz="0" w:space="0" w:color="auto"/>
        <w:left w:val="none" w:sz="0" w:space="0" w:color="auto"/>
        <w:bottom w:val="none" w:sz="0" w:space="0" w:color="auto"/>
        <w:right w:val="none" w:sz="0" w:space="0" w:color="auto"/>
      </w:divBdr>
    </w:div>
    <w:div w:id="1348218738">
      <w:bodyDiv w:val="1"/>
      <w:marLeft w:val="0"/>
      <w:marRight w:val="0"/>
      <w:marTop w:val="0"/>
      <w:marBottom w:val="0"/>
      <w:divBdr>
        <w:top w:val="none" w:sz="0" w:space="0" w:color="auto"/>
        <w:left w:val="none" w:sz="0" w:space="0" w:color="auto"/>
        <w:bottom w:val="none" w:sz="0" w:space="0" w:color="auto"/>
        <w:right w:val="none" w:sz="0" w:space="0" w:color="auto"/>
      </w:divBdr>
      <w:divsChild>
        <w:div w:id="395277926">
          <w:marLeft w:val="0"/>
          <w:marRight w:val="0"/>
          <w:marTop w:val="0"/>
          <w:marBottom w:val="0"/>
          <w:divBdr>
            <w:top w:val="none" w:sz="0" w:space="0" w:color="auto"/>
            <w:left w:val="none" w:sz="0" w:space="0" w:color="auto"/>
            <w:bottom w:val="none" w:sz="0" w:space="0" w:color="auto"/>
            <w:right w:val="none" w:sz="0" w:space="0" w:color="auto"/>
          </w:divBdr>
        </w:div>
        <w:div w:id="1081299032">
          <w:marLeft w:val="0"/>
          <w:marRight w:val="0"/>
          <w:marTop w:val="0"/>
          <w:marBottom w:val="0"/>
          <w:divBdr>
            <w:top w:val="none" w:sz="0" w:space="0" w:color="auto"/>
            <w:left w:val="none" w:sz="0" w:space="0" w:color="auto"/>
            <w:bottom w:val="none" w:sz="0" w:space="0" w:color="auto"/>
            <w:right w:val="none" w:sz="0" w:space="0" w:color="auto"/>
          </w:divBdr>
        </w:div>
      </w:divsChild>
    </w:div>
    <w:div w:id="1452237795">
      <w:bodyDiv w:val="1"/>
      <w:marLeft w:val="0"/>
      <w:marRight w:val="0"/>
      <w:marTop w:val="0"/>
      <w:marBottom w:val="0"/>
      <w:divBdr>
        <w:top w:val="none" w:sz="0" w:space="0" w:color="auto"/>
        <w:left w:val="none" w:sz="0" w:space="0" w:color="auto"/>
        <w:bottom w:val="none" w:sz="0" w:space="0" w:color="auto"/>
        <w:right w:val="none" w:sz="0" w:space="0" w:color="auto"/>
      </w:divBdr>
    </w:div>
    <w:div w:id="14549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9310</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Meillier</dc:creator>
  <cp:keywords/>
  <dc:description/>
  <cp:lastModifiedBy>YB</cp:lastModifiedBy>
  <cp:revision>2</cp:revision>
  <dcterms:created xsi:type="dcterms:W3CDTF">2024-06-24T07:48:00Z</dcterms:created>
  <dcterms:modified xsi:type="dcterms:W3CDTF">2024-06-24T07:48:00Z</dcterms:modified>
</cp:coreProperties>
</file>